
<file path=[Content_Types].xml><?xml version="1.0" encoding="utf-8"?>
<Types xmlns="http://schemas.openxmlformats.org/package/2006/content-types">
  <Default Extension="wmf" ContentType="image/x-wm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2473E">
      <w:pPr>
        <w:jc w:val="center"/>
        <w:rPr>
          <w:rFonts w:ascii="宋体" w:hAnsi="宋体" w:eastAsia="宋体"/>
          <w:b/>
          <w:bCs/>
          <w:sz w:val="28"/>
          <w:szCs w:val="28"/>
        </w:rPr>
      </w:pPr>
      <w:r>
        <w:rPr>
          <w:rFonts w:hint="eastAsia" w:ascii="宋体" w:hAnsi="宋体" w:eastAsia="宋体"/>
          <w:b/>
          <w:bCs/>
          <w:sz w:val="28"/>
          <w:szCs w:val="28"/>
        </w:rPr>
        <w:t>复旦大学—法国远东学院人文研究中心</w:t>
      </w:r>
    </w:p>
    <w:p w14:paraId="12E51838">
      <w:pPr>
        <w:jc w:val="center"/>
        <w:rPr>
          <w:rFonts w:ascii="宋体" w:hAnsi="宋体" w:eastAsia="宋体"/>
          <w:b/>
          <w:bCs/>
          <w:sz w:val="28"/>
          <w:szCs w:val="28"/>
        </w:rPr>
      </w:pPr>
      <w:r>
        <w:rPr>
          <w:rFonts w:hint="eastAsia" w:ascii="宋体" w:hAnsi="宋体" w:eastAsia="宋体"/>
          <w:b/>
          <w:bCs/>
          <w:sz w:val="28"/>
          <w:szCs w:val="28"/>
        </w:rPr>
        <w:t>关于开放赴法合作研究资助申请的通知</w:t>
      </w:r>
    </w:p>
    <w:p w14:paraId="3BB86A48">
      <w:pPr>
        <w:jc w:val="center"/>
        <w:rPr>
          <w:rFonts w:ascii="宋体" w:hAnsi="宋体" w:eastAsia="宋体"/>
          <w:b/>
          <w:bCs/>
          <w:sz w:val="28"/>
          <w:szCs w:val="28"/>
        </w:rPr>
      </w:pPr>
    </w:p>
    <w:p w14:paraId="7B190CD0">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复旦大学—法国远东学院人文研究中心于2025年11月17日正式成立，办公室设在外文楼一层108室。</w:t>
      </w:r>
    </w:p>
    <w:p w14:paraId="6E0E0D92">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为促进中法人文研究领域的深度交流与合作，复旦大学—法国远东学院人文研究中心现正式启动</w:t>
      </w:r>
      <w:r>
        <w:rPr>
          <w:rFonts w:ascii="宋体" w:hAnsi="宋体" w:eastAsia="宋体"/>
          <w:sz w:val="24"/>
          <w:szCs w:val="24"/>
        </w:rPr>
        <w:t>2026</w:t>
      </w:r>
      <w:r>
        <w:rPr>
          <w:rFonts w:hint="eastAsia" w:ascii="宋体" w:hAnsi="宋体" w:eastAsia="宋体"/>
          <w:sz w:val="24"/>
          <w:szCs w:val="24"/>
        </w:rPr>
        <w:t>年度赴法合作研究资助的申请工作。具体事项通知如下：</w:t>
      </w:r>
    </w:p>
    <w:p w14:paraId="16F0CA81">
      <w:pPr>
        <w:spacing w:before="240" w:line="276" w:lineRule="auto"/>
        <w:jc w:val="left"/>
        <w:rPr>
          <w:rFonts w:ascii="宋体" w:hAnsi="宋体" w:eastAsia="宋体"/>
          <w:sz w:val="24"/>
          <w:szCs w:val="24"/>
        </w:rPr>
      </w:pPr>
      <w:r>
        <w:rPr>
          <w:rFonts w:hint="eastAsia" w:ascii="宋体" w:hAnsi="宋体" w:eastAsia="宋体"/>
          <w:sz w:val="24"/>
          <w:szCs w:val="24"/>
        </w:rPr>
        <w:t>一、资助对象与名额</w:t>
      </w:r>
    </w:p>
    <w:p w14:paraId="178F3C80">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中心每年拟资助3位复旦大学人文学科的在职教师（包括但不限于中文、历史、哲学和外国语言文学），前往法国远东学院巴黎总部进行2—3周的合作交流与研究。申请</w:t>
      </w:r>
      <w:r>
        <w:rPr>
          <w:rFonts w:ascii="宋体" w:hAnsi="宋体" w:eastAsia="宋体"/>
          <w:sz w:val="24"/>
          <w:szCs w:val="24"/>
        </w:rPr>
        <w:t>人的学术方向必须与法国远东学院的研究方向</w:t>
      </w:r>
      <w:r>
        <w:rPr>
          <w:rFonts w:hint="eastAsia" w:ascii="宋体" w:hAnsi="宋体" w:eastAsia="宋体"/>
          <w:sz w:val="24"/>
          <w:szCs w:val="24"/>
        </w:rPr>
        <w:t>（历史学、人类学、民俗学、考古学、艺术及文献学）保持</w:t>
      </w:r>
      <w:r>
        <w:rPr>
          <w:rFonts w:ascii="宋体" w:hAnsi="宋体" w:eastAsia="宋体"/>
          <w:sz w:val="24"/>
          <w:szCs w:val="24"/>
        </w:rPr>
        <w:t>一致。</w:t>
      </w:r>
    </w:p>
    <w:p w14:paraId="29DBF3C6">
      <w:pPr>
        <w:spacing w:before="240" w:line="276" w:lineRule="auto"/>
        <w:jc w:val="left"/>
        <w:rPr>
          <w:rFonts w:ascii="宋体" w:hAnsi="宋体" w:eastAsia="宋体"/>
          <w:sz w:val="24"/>
          <w:szCs w:val="24"/>
        </w:rPr>
      </w:pPr>
      <w:r>
        <w:rPr>
          <w:rFonts w:hint="eastAsia" w:ascii="宋体" w:hAnsi="宋体" w:eastAsia="宋体"/>
          <w:sz w:val="24"/>
          <w:szCs w:val="24"/>
        </w:rPr>
        <w:t>二、资助内容</w:t>
      </w:r>
    </w:p>
    <w:p w14:paraId="72D1A7F1">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每位获资助教师可获得不超过4,000欧元的经费支持，用于往返国际旅费、在法期间的食宿开支，以及其他与研究相关的开支。</w:t>
      </w:r>
    </w:p>
    <w:p w14:paraId="6005A7E8">
      <w:pPr>
        <w:spacing w:before="240" w:line="276" w:lineRule="auto"/>
        <w:ind w:firstLine="480" w:firstLineChars="200"/>
        <w:jc w:val="left"/>
        <w:rPr>
          <w:rFonts w:hint="eastAsia" w:ascii="宋体" w:hAnsi="宋体" w:eastAsia="宋体"/>
          <w:sz w:val="24"/>
          <w:szCs w:val="24"/>
        </w:rPr>
      </w:pPr>
      <w:r>
        <w:rPr>
          <w:rFonts w:hint="eastAsia" w:ascii="宋体" w:hAnsi="宋体" w:eastAsia="宋体"/>
          <w:sz w:val="24"/>
          <w:szCs w:val="24"/>
        </w:rPr>
        <w:t>建议</w:t>
      </w:r>
      <w:r>
        <w:rPr>
          <w:rFonts w:ascii="宋体" w:hAnsi="宋体" w:eastAsia="宋体"/>
          <w:sz w:val="24"/>
          <w:szCs w:val="24"/>
        </w:rPr>
        <w:t>入选学者</w:t>
      </w:r>
      <w:r>
        <w:rPr>
          <w:rFonts w:hint="eastAsia" w:ascii="宋体" w:hAnsi="宋体" w:eastAsia="宋体"/>
          <w:sz w:val="24"/>
          <w:szCs w:val="24"/>
        </w:rPr>
        <w:t>依循</w:t>
      </w:r>
      <w:r>
        <w:rPr>
          <w:rFonts w:ascii="宋体" w:hAnsi="宋体" w:eastAsia="宋体"/>
          <w:sz w:val="24"/>
          <w:szCs w:val="24"/>
        </w:rPr>
        <w:t>复旦大学财</w:t>
      </w:r>
      <w:r>
        <w:rPr>
          <w:rFonts w:hint="eastAsia" w:ascii="宋体" w:hAnsi="宋体" w:eastAsia="宋体"/>
          <w:sz w:val="24"/>
          <w:szCs w:val="24"/>
        </w:rPr>
        <w:t>务</w:t>
      </w:r>
      <w:r>
        <w:rPr>
          <w:rFonts w:ascii="宋体" w:hAnsi="宋体" w:eastAsia="宋体"/>
          <w:sz w:val="24"/>
          <w:szCs w:val="24"/>
        </w:rPr>
        <w:t>规定，于申请当年内执行访学</w:t>
      </w:r>
      <w:r>
        <w:rPr>
          <w:rFonts w:hint="eastAsia" w:ascii="宋体" w:hAnsi="宋体" w:eastAsia="宋体"/>
          <w:sz w:val="24"/>
          <w:szCs w:val="24"/>
        </w:rPr>
        <w:t>并</w:t>
      </w:r>
      <w:r>
        <w:rPr>
          <w:rFonts w:ascii="宋体" w:hAnsi="宋体" w:eastAsia="宋体"/>
          <w:sz w:val="24"/>
          <w:szCs w:val="24"/>
        </w:rPr>
        <w:t>进行报销。</w:t>
      </w:r>
    </w:p>
    <w:p w14:paraId="276D8DCE">
      <w:pPr>
        <w:spacing w:before="240" w:line="276" w:lineRule="auto"/>
        <w:jc w:val="left"/>
        <w:rPr>
          <w:rFonts w:ascii="宋体" w:hAnsi="宋体" w:eastAsia="宋体"/>
          <w:sz w:val="24"/>
          <w:szCs w:val="24"/>
        </w:rPr>
      </w:pPr>
      <w:r>
        <w:rPr>
          <w:rFonts w:hint="eastAsia" w:ascii="宋体" w:hAnsi="宋体" w:eastAsia="宋体"/>
          <w:sz w:val="24"/>
          <w:szCs w:val="24"/>
        </w:rPr>
        <w:t>三、申请材料</w:t>
      </w:r>
    </w:p>
    <w:p w14:paraId="4343F25F">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申请人需提交以下材料（电子版）：</w:t>
      </w:r>
    </w:p>
    <w:p w14:paraId="677F5604">
      <w:pPr>
        <w:numPr>
          <w:ilvl w:val="0"/>
          <w:numId w:val="1"/>
        </w:num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个人简历（中英或</w:t>
      </w:r>
      <w:r>
        <w:rPr>
          <w:rFonts w:ascii="宋体" w:hAnsi="宋体" w:eastAsia="宋体"/>
          <w:sz w:val="24"/>
          <w:szCs w:val="24"/>
        </w:rPr>
        <w:t>中法</w:t>
      </w:r>
      <w:r>
        <w:rPr>
          <w:rFonts w:hint="eastAsia" w:ascii="宋体" w:hAnsi="宋体" w:eastAsia="宋体"/>
          <w:sz w:val="24"/>
          <w:szCs w:val="24"/>
        </w:rPr>
        <w:t>双语）；</w:t>
      </w:r>
    </w:p>
    <w:p w14:paraId="74A6BE51">
      <w:pPr>
        <w:numPr>
          <w:ilvl w:val="0"/>
          <w:numId w:val="1"/>
        </w:num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研究计划（中英或</w:t>
      </w:r>
      <w:r>
        <w:rPr>
          <w:rFonts w:ascii="宋体" w:hAnsi="宋体" w:eastAsia="宋体"/>
          <w:sz w:val="24"/>
          <w:szCs w:val="24"/>
        </w:rPr>
        <w:t>中法</w:t>
      </w:r>
      <w:r>
        <w:rPr>
          <w:rFonts w:hint="eastAsia" w:ascii="宋体" w:hAnsi="宋体" w:eastAsia="宋体"/>
          <w:sz w:val="24"/>
          <w:szCs w:val="24"/>
        </w:rPr>
        <w:t>双语版，中文版1,500-2,000字，英/法文版约1,000单词；请提供一个基于您研究领域、拟在接收院系或巴黎文理研究大学相关附属机构开展的学术讲座题目。需要提供远东学院的潜在合作者）。</w:t>
      </w:r>
    </w:p>
    <w:p w14:paraId="109409C5">
      <w:pPr>
        <w:numPr>
          <w:ilvl w:val="0"/>
          <w:numId w:val="1"/>
        </w:num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访问期间须至少参与2场巴黎</w:t>
      </w:r>
      <w:r>
        <w:rPr>
          <w:rFonts w:ascii="宋体" w:hAnsi="宋体" w:eastAsia="宋体"/>
          <w:sz w:val="24"/>
          <w:szCs w:val="24"/>
        </w:rPr>
        <w:t>文理研究大学的</w:t>
      </w:r>
      <w:r>
        <w:rPr>
          <w:rFonts w:hint="eastAsia" w:ascii="宋体" w:hAnsi="宋体" w:eastAsia="宋体"/>
          <w:sz w:val="24"/>
          <w:szCs w:val="24"/>
        </w:rPr>
        <w:t>学术讲座；至少</w:t>
      </w:r>
      <w:r>
        <w:rPr>
          <w:rFonts w:ascii="宋体" w:hAnsi="宋体" w:eastAsia="宋体"/>
          <w:sz w:val="24"/>
          <w:szCs w:val="24"/>
        </w:rPr>
        <w:t>需</w:t>
      </w:r>
      <w:r>
        <w:rPr>
          <w:rFonts w:hint="eastAsia" w:ascii="宋体" w:hAnsi="宋体" w:eastAsia="宋体"/>
          <w:sz w:val="24"/>
          <w:szCs w:val="24"/>
        </w:rPr>
        <w:t>拜访2位与</w:t>
      </w:r>
      <w:r>
        <w:rPr>
          <w:rFonts w:ascii="宋体" w:hAnsi="宋体" w:eastAsia="宋体"/>
          <w:sz w:val="24"/>
          <w:szCs w:val="24"/>
        </w:rPr>
        <w:t>申请人</w:t>
      </w:r>
      <w:r>
        <w:rPr>
          <w:rFonts w:hint="eastAsia" w:ascii="宋体" w:hAnsi="宋体" w:eastAsia="宋体"/>
          <w:sz w:val="24"/>
          <w:szCs w:val="24"/>
        </w:rPr>
        <w:t>同学术</w:t>
      </w:r>
      <w:r>
        <w:rPr>
          <w:rFonts w:ascii="宋体" w:hAnsi="宋体" w:eastAsia="宋体"/>
          <w:sz w:val="24"/>
          <w:szCs w:val="24"/>
        </w:rPr>
        <w:t>领域的</w:t>
      </w:r>
      <w:r>
        <w:rPr>
          <w:rFonts w:hint="eastAsia" w:ascii="宋体" w:hAnsi="宋体" w:eastAsia="宋体"/>
          <w:sz w:val="24"/>
          <w:szCs w:val="24"/>
        </w:rPr>
        <w:t>专家</w:t>
      </w:r>
      <w:r>
        <w:rPr>
          <w:rFonts w:ascii="宋体" w:hAnsi="宋体" w:eastAsia="宋体"/>
          <w:sz w:val="24"/>
          <w:szCs w:val="24"/>
        </w:rPr>
        <w:t>进行交流。</w:t>
      </w:r>
    </w:p>
    <w:p w14:paraId="4CD09D8D">
      <w:pPr>
        <w:numPr>
          <w:ilvl w:val="0"/>
          <w:numId w:val="1"/>
        </w:num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访问结束后须提交一份总结报告（中英或</w:t>
      </w:r>
      <w:r>
        <w:rPr>
          <w:rFonts w:ascii="宋体" w:hAnsi="宋体" w:eastAsia="宋体"/>
          <w:sz w:val="24"/>
          <w:szCs w:val="24"/>
        </w:rPr>
        <w:t>中法</w:t>
      </w:r>
      <w:r>
        <w:rPr>
          <w:rFonts w:hint="eastAsia" w:ascii="宋体" w:hAnsi="宋体" w:eastAsia="宋体"/>
          <w:sz w:val="24"/>
          <w:szCs w:val="24"/>
        </w:rPr>
        <w:t>双语）以及</w:t>
      </w:r>
      <w:r>
        <w:rPr>
          <w:rFonts w:ascii="宋体" w:hAnsi="宋体" w:eastAsia="宋体"/>
          <w:sz w:val="24"/>
          <w:szCs w:val="24"/>
        </w:rPr>
        <w:t>经费使用说明</w:t>
      </w:r>
      <w:r>
        <w:rPr>
          <w:rFonts w:hint="eastAsia" w:ascii="宋体" w:hAnsi="宋体" w:eastAsia="宋体"/>
          <w:sz w:val="24"/>
          <w:szCs w:val="24"/>
        </w:rPr>
        <w:t>(中文）。</w:t>
      </w:r>
    </w:p>
    <w:p w14:paraId="19EEB1E4">
      <w:pPr>
        <w:numPr>
          <w:ilvl w:val="0"/>
          <w:numId w:val="1"/>
        </w:num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如有相关学术成果出版，请注明受复旦大学—法国远东学院人文中心访学</w:t>
      </w:r>
      <w:r>
        <w:rPr>
          <w:rFonts w:ascii="宋体" w:hAnsi="宋体" w:eastAsia="宋体"/>
          <w:sz w:val="24"/>
          <w:szCs w:val="24"/>
        </w:rPr>
        <w:t>基金</w:t>
      </w:r>
      <w:r>
        <w:rPr>
          <w:rFonts w:hint="eastAsia" w:ascii="宋体" w:hAnsi="宋体" w:eastAsia="宋体"/>
          <w:sz w:val="24"/>
          <w:szCs w:val="24"/>
        </w:rPr>
        <w:t>资助。</w:t>
      </w:r>
    </w:p>
    <w:p w14:paraId="6F45916C">
      <w:pPr>
        <w:numPr>
          <w:ilvl w:val="255"/>
          <w:numId w:val="0"/>
        </w:numPr>
        <w:spacing w:before="240" w:line="276" w:lineRule="auto"/>
        <w:jc w:val="left"/>
        <w:rPr>
          <w:rFonts w:ascii="宋体" w:hAnsi="宋体" w:eastAsia="宋体"/>
          <w:sz w:val="24"/>
          <w:szCs w:val="24"/>
        </w:rPr>
      </w:pPr>
      <w:r>
        <w:rPr>
          <w:rFonts w:hint="eastAsia" w:ascii="宋体" w:hAnsi="宋体" w:eastAsia="宋体"/>
          <w:sz w:val="24"/>
          <w:szCs w:val="24"/>
        </w:rPr>
        <w:t>四、提交方式与截止日期</w:t>
      </w:r>
    </w:p>
    <w:p w14:paraId="0CBC4ED0">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请将上述材料发送至邮箱：ynz@fudan.edu.cn，邮件主题请注明“EFEO资助赴法合作研究申请+姓名+所在院系”。截止日期为2026年5月1</w:t>
      </w:r>
      <w:r>
        <w:rPr>
          <w:rFonts w:ascii="宋体" w:hAnsi="宋体" w:eastAsia="宋体"/>
          <w:sz w:val="24"/>
          <w:szCs w:val="24"/>
        </w:rPr>
        <w:t>1</w:t>
      </w:r>
      <w:r>
        <w:rPr>
          <w:rFonts w:hint="eastAsia" w:ascii="宋体" w:hAnsi="宋体" w:eastAsia="宋体"/>
          <w:sz w:val="24"/>
          <w:szCs w:val="24"/>
        </w:rPr>
        <w:t>日（周三），逾期不予受理。</w:t>
      </w:r>
    </w:p>
    <w:p w14:paraId="117AE471">
      <w:pPr>
        <w:spacing w:before="240" w:line="276" w:lineRule="auto"/>
        <w:ind w:firstLine="480" w:firstLineChars="200"/>
        <w:jc w:val="left"/>
        <w:rPr>
          <w:rFonts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如有疑问，请咨询以下邮箱和电话。</w:t>
      </w:r>
    </w:p>
    <w:p w14:paraId="7E7C3DB5">
      <w:pPr>
        <w:spacing w:before="240" w:line="276" w:lineRule="auto"/>
        <w:ind w:firstLine="480" w:firstLineChars="200"/>
        <w:jc w:val="left"/>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联系人：周老师，+86-021-65642260</w:t>
      </w:r>
      <w:r>
        <w:rPr>
          <w:rFonts w:ascii="宋体" w:hAnsi="宋体" w:eastAsia="宋体" w:cs="宋体"/>
          <w:color w:val="333333"/>
          <w:sz w:val="24"/>
          <w:szCs w:val="24"/>
          <w:shd w:val="clear" w:color="auto" w:fill="FFFFFF"/>
        </w:rPr>
        <w:t xml:space="preserve"> </w:t>
      </w:r>
      <w:r>
        <w:rPr>
          <w:rFonts w:hint="eastAsia" w:ascii="宋体" w:hAnsi="宋体" w:eastAsia="宋体"/>
          <w:sz w:val="24"/>
          <w:szCs w:val="24"/>
        </w:rPr>
        <w:t>ynz@fudan.edu.cn</w:t>
      </w:r>
    </w:p>
    <w:p w14:paraId="134408E2">
      <w:pPr>
        <w:spacing w:before="240" w:line="276" w:lineRule="auto"/>
        <w:jc w:val="left"/>
        <w:rPr>
          <w:rFonts w:ascii="宋体" w:hAnsi="宋体" w:eastAsia="宋体"/>
          <w:sz w:val="24"/>
          <w:szCs w:val="24"/>
        </w:rPr>
      </w:pPr>
      <w:r>
        <w:rPr>
          <w:rFonts w:hint="eastAsia" w:ascii="宋体" w:hAnsi="宋体" w:eastAsia="宋体"/>
          <w:sz w:val="24"/>
          <w:szCs w:val="24"/>
        </w:rPr>
        <w:t>五、结果公布与使用时限</w:t>
      </w:r>
    </w:p>
    <w:p w14:paraId="46D72030">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国合处与</w:t>
      </w:r>
      <w:r>
        <w:rPr>
          <w:rFonts w:ascii="宋体" w:hAnsi="宋体" w:eastAsia="宋体"/>
          <w:sz w:val="24"/>
          <w:szCs w:val="24"/>
        </w:rPr>
        <w:t>中心将共同组织评选</w:t>
      </w:r>
      <w:r>
        <w:rPr>
          <w:rFonts w:hint="eastAsia" w:ascii="宋体" w:hAnsi="宋体" w:eastAsia="宋体"/>
          <w:sz w:val="24"/>
          <w:szCs w:val="24"/>
        </w:rPr>
        <w:t>工作；评选结果将于截止后一个月内公布。所获资助须在结果公布之日起一年内使用完毕。</w:t>
      </w:r>
    </w:p>
    <w:p w14:paraId="26774A7C">
      <w:pPr>
        <w:spacing w:before="240" w:line="276" w:lineRule="auto"/>
        <w:ind w:firstLine="480" w:firstLineChars="200"/>
        <w:jc w:val="left"/>
        <w:rPr>
          <w:rFonts w:ascii="宋体" w:hAnsi="宋体" w:eastAsia="宋体"/>
          <w:sz w:val="24"/>
          <w:szCs w:val="24"/>
        </w:rPr>
      </w:pPr>
      <w:r>
        <w:rPr>
          <w:rFonts w:hint="eastAsia" w:ascii="宋体" w:hAnsi="宋体" w:eastAsia="宋体"/>
          <w:sz w:val="24"/>
          <w:szCs w:val="24"/>
        </w:rPr>
        <w:t>欢迎各位教师积极申报，共同推动复旦大学与法国远东学院的学术合作与人文交流。</w:t>
      </w:r>
    </w:p>
    <w:p w14:paraId="45E50B98">
      <w:pPr>
        <w:spacing w:before="240" w:line="276" w:lineRule="auto"/>
        <w:ind w:firstLine="480" w:firstLineChars="200"/>
        <w:jc w:val="right"/>
        <w:rPr>
          <w:rFonts w:ascii="宋体" w:hAnsi="宋体" w:eastAsia="宋体"/>
          <w:sz w:val="24"/>
          <w:szCs w:val="24"/>
        </w:rPr>
      </w:pPr>
      <w:r>
        <w:rPr>
          <w:rFonts w:hint="eastAsia" w:ascii="宋体" w:hAnsi="宋体" w:eastAsia="宋体"/>
          <w:sz w:val="24"/>
          <w:szCs w:val="24"/>
        </w:rPr>
        <w:t>复旦大学—法国远东学院人文研究中心</w:t>
      </w:r>
    </w:p>
    <w:p w14:paraId="726111E8">
      <w:pPr>
        <w:spacing w:before="240" w:line="276" w:lineRule="auto"/>
        <w:ind w:firstLine="480" w:firstLineChars="200"/>
        <w:jc w:val="right"/>
        <w:rPr>
          <w:rFonts w:ascii="宋体" w:hAnsi="宋体" w:eastAsia="宋体"/>
          <w:sz w:val="24"/>
          <w:szCs w:val="24"/>
        </w:rPr>
      </w:pPr>
      <w:r>
        <w:rPr>
          <w:rFonts w:hint="eastAsia" w:ascii="宋体" w:hAnsi="宋体" w:eastAsia="宋体"/>
          <w:sz w:val="24"/>
          <w:szCs w:val="24"/>
        </w:rPr>
        <w:t>2026年4</w:t>
      </w:r>
      <w:bookmarkStart w:id="0" w:name="_GoBack"/>
      <w:bookmarkEnd w:id="0"/>
      <w:r>
        <w:rPr>
          <w:rFonts w:hint="eastAsia" w:ascii="宋体" w:hAnsi="宋体" w:eastAsia="宋体"/>
          <w:sz w:val="24"/>
          <w:szCs w:val="24"/>
        </w:rPr>
        <w:t>月8日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A6407">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D7AC2">
    <w:pPr>
      <w:pStyle w:val="13"/>
      <w:tabs>
        <w:tab w:val="center" w:pos="4513"/>
        <w:tab w:val="right" w:pos="9026"/>
        <w:tab w:val="clear" w:pos="4153"/>
        <w:tab w:val="clear" w:pos="8306"/>
      </w:tabs>
      <w:ind w:left="-115"/>
    </w:pPr>
  </w:p>
  <w:tbl>
    <w:tblPr>
      <w:tblStyle w:val="16"/>
      <w:tblW w:w="9730" w:type="dxa"/>
      <w:tblInd w:w="-284" w:type="dxa"/>
      <w:tblLayout w:type="fixed"/>
      <w:tblCellMar>
        <w:top w:w="0" w:type="dxa"/>
        <w:left w:w="108" w:type="dxa"/>
        <w:bottom w:w="0" w:type="dxa"/>
        <w:right w:w="108" w:type="dxa"/>
      </w:tblCellMar>
    </w:tblPr>
    <w:tblGrid>
      <w:gridCol w:w="3138"/>
      <w:gridCol w:w="3138"/>
      <w:gridCol w:w="3454"/>
    </w:tblGrid>
    <w:tr w14:paraId="206EF582">
      <w:tblPrEx>
        <w:tblCellMar>
          <w:top w:w="0" w:type="dxa"/>
          <w:left w:w="108" w:type="dxa"/>
          <w:bottom w:w="0" w:type="dxa"/>
          <w:right w:w="108" w:type="dxa"/>
        </w:tblCellMar>
      </w:tblPrEx>
      <w:trPr>
        <w:trHeight w:val="248" w:hRule="atLeast"/>
      </w:trPr>
      <w:tc>
        <w:tcPr>
          <w:tcW w:w="3138" w:type="dxa"/>
        </w:tcPr>
        <w:p w14:paraId="243B3C38">
          <w:pPr>
            <w:spacing w:before="240" w:line="240" w:lineRule="auto"/>
            <w:jc w:val="center"/>
            <w:rPr>
              <w:lang w:val="en-US" w:eastAsia="zh-CN"/>
            </w:rPr>
          </w:pPr>
          <w:r>
            <w:rPr>
              <w:rFonts w:hint="eastAsia"/>
              <w:lang w:val="en-US" w:eastAsia="zh-CN"/>
            </w:rPr>
            <w:drawing>
              <wp:inline distT="0" distB="0" distL="0" distR="0">
                <wp:extent cx="1855470" cy="548640"/>
                <wp:effectExtent l="0" t="0" r="1270" b="1905"/>
                <wp:docPr id="482634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3491" name="Imag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63678" cy="551067"/>
                        </a:xfrm>
                        <a:prstGeom prst="rect">
                          <a:avLst/>
                        </a:prstGeom>
                      </pic:spPr>
                    </pic:pic>
                  </a:graphicData>
                </a:graphic>
              </wp:inline>
            </w:drawing>
          </w:r>
        </w:p>
      </w:tc>
      <w:tc>
        <w:tcPr>
          <w:tcW w:w="3138" w:type="dxa"/>
        </w:tcPr>
        <w:p w14:paraId="0F81FEB9">
          <w:pPr>
            <w:pStyle w:val="13"/>
            <w:tabs>
              <w:tab w:val="center" w:pos="4513"/>
              <w:tab w:val="right" w:pos="9026"/>
              <w:tab w:val="clear" w:pos="4153"/>
              <w:tab w:val="clear" w:pos="8306"/>
            </w:tabs>
            <w:jc w:val="center"/>
            <w:rPr>
              <w:lang w:val="en-US" w:eastAsia="zh-CN"/>
            </w:rPr>
          </w:pPr>
          <w:r>
            <w:rPr>
              <w:rFonts w:hint="eastAsia"/>
              <w:lang w:val="en-US" w:eastAsia="zh-CN"/>
            </w:rPr>
            <w:t>FUDAN - EFEO Center for Humanities LOGO</w:t>
          </w:r>
        </w:p>
      </w:tc>
      <w:tc>
        <w:tcPr>
          <w:tcW w:w="3454" w:type="dxa"/>
        </w:tcPr>
        <w:p w14:paraId="0915B289">
          <w:pPr>
            <w:pStyle w:val="13"/>
            <w:tabs>
              <w:tab w:val="center" w:pos="4513"/>
              <w:tab w:val="right" w:pos="9026"/>
              <w:tab w:val="clear" w:pos="4153"/>
              <w:tab w:val="clear" w:pos="8306"/>
            </w:tabs>
            <w:ind w:right="-115"/>
            <w:jc w:val="right"/>
          </w:pPr>
          <w:r>
            <w:rPr>
              <w:lang w:eastAsia="en-GB"/>
            </w:rPr>
            <w:drawing>
              <wp:inline distT="0" distB="0" distL="0" distR="0">
                <wp:extent cx="756285" cy="756285"/>
                <wp:effectExtent l="0" t="0" r="10160"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766658" cy="766658"/>
                        </a:xfrm>
                        <a:prstGeom prst="rect">
                          <a:avLst/>
                        </a:prstGeom>
                      </pic:spPr>
                    </pic:pic>
                  </a:graphicData>
                </a:graphic>
              </wp:inline>
            </w:drawing>
          </w:r>
        </w:p>
      </w:tc>
    </w:tr>
  </w:tbl>
  <w:p w14:paraId="29CD6912">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B73A68"/>
    <w:multiLevelType w:val="singleLevel"/>
    <w:tmpl w:val="5DB73A6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02A"/>
    <w:rsid w:val="00066829"/>
    <w:rsid w:val="000A2D52"/>
    <w:rsid w:val="00155407"/>
    <w:rsid w:val="001F4F54"/>
    <w:rsid w:val="001F7E95"/>
    <w:rsid w:val="002375EE"/>
    <w:rsid w:val="00282E3C"/>
    <w:rsid w:val="00285017"/>
    <w:rsid w:val="00295B8D"/>
    <w:rsid w:val="002E7A1E"/>
    <w:rsid w:val="002E7D9C"/>
    <w:rsid w:val="003045BC"/>
    <w:rsid w:val="0036133F"/>
    <w:rsid w:val="003C7F2E"/>
    <w:rsid w:val="003F47E5"/>
    <w:rsid w:val="00412966"/>
    <w:rsid w:val="00412E25"/>
    <w:rsid w:val="00440BEB"/>
    <w:rsid w:val="00502A2D"/>
    <w:rsid w:val="00563179"/>
    <w:rsid w:val="00585C26"/>
    <w:rsid w:val="005F1624"/>
    <w:rsid w:val="00617603"/>
    <w:rsid w:val="00623389"/>
    <w:rsid w:val="006521ED"/>
    <w:rsid w:val="006616FE"/>
    <w:rsid w:val="0068045F"/>
    <w:rsid w:val="006D5984"/>
    <w:rsid w:val="006D7ABC"/>
    <w:rsid w:val="0073002A"/>
    <w:rsid w:val="00735122"/>
    <w:rsid w:val="007B36B9"/>
    <w:rsid w:val="007C4EBD"/>
    <w:rsid w:val="008065EB"/>
    <w:rsid w:val="00847718"/>
    <w:rsid w:val="00860F32"/>
    <w:rsid w:val="008A6379"/>
    <w:rsid w:val="00941898"/>
    <w:rsid w:val="009C38ED"/>
    <w:rsid w:val="00A805D5"/>
    <w:rsid w:val="00A90776"/>
    <w:rsid w:val="00BB5F13"/>
    <w:rsid w:val="00C14EF7"/>
    <w:rsid w:val="00C858D8"/>
    <w:rsid w:val="00CD78DA"/>
    <w:rsid w:val="00CE42AE"/>
    <w:rsid w:val="00D85510"/>
    <w:rsid w:val="00DD040E"/>
    <w:rsid w:val="00E0554B"/>
    <w:rsid w:val="00E27F02"/>
    <w:rsid w:val="00E474A4"/>
    <w:rsid w:val="00E50AD8"/>
    <w:rsid w:val="00E9381F"/>
    <w:rsid w:val="00EB70DB"/>
    <w:rsid w:val="00EE479C"/>
    <w:rsid w:val="00F27A8E"/>
    <w:rsid w:val="00F5766C"/>
    <w:rsid w:val="00FB6A04"/>
    <w:rsid w:val="101D59AD"/>
    <w:rsid w:val="1C4F52EF"/>
    <w:rsid w:val="2F8D29B1"/>
    <w:rsid w:val="31965D7B"/>
    <w:rsid w:val="369C054A"/>
    <w:rsid w:val="37D92086"/>
    <w:rsid w:val="3BF20E38"/>
    <w:rsid w:val="52D72A6D"/>
    <w:rsid w:val="68637551"/>
    <w:rsid w:val="699F623A"/>
    <w:rsid w:val="6BA22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Balloon Text"/>
    <w:basedOn w:val="1"/>
    <w:link w:val="36"/>
    <w:semiHidden/>
    <w:unhideWhenUsed/>
    <w:qFormat/>
    <w:uiPriority w:val="99"/>
    <w:rPr>
      <w:sz w:val="18"/>
      <w:szCs w:val="18"/>
    </w:rPr>
  </w:style>
  <w:style w:type="paragraph" w:styleId="12">
    <w:name w:val="footer"/>
    <w:basedOn w:val="1"/>
    <w:link w:val="38"/>
    <w:unhideWhenUsed/>
    <w:qFormat/>
    <w:uiPriority w:val="99"/>
    <w:pPr>
      <w:tabs>
        <w:tab w:val="center" w:pos="4153"/>
        <w:tab w:val="right" w:pos="8306"/>
      </w:tabs>
      <w:snapToGrid w:val="0"/>
      <w:jc w:val="left"/>
    </w:pPr>
    <w:rPr>
      <w:sz w:val="18"/>
      <w:szCs w:val="18"/>
    </w:rPr>
  </w:style>
  <w:style w:type="paragraph" w:styleId="13">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8">
    <w:name w:val="标题 1 Char"/>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19">
    <w:name w:val="标题 2 Char"/>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Char"/>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Char"/>
    <w:basedOn w:val="17"/>
    <w:link w:val="5"/>
    <w:semiHidden/>
    <w:qFormat/>
    <w:uiPriority w:val="9"/>
    <w:rPr>
      <w:rFonts w:cstheme="majorBidi"/>
      <w:color w:val="104862" w:themeColor="accent1" w:themeShade="BF"/>
      <w:sz w:val="28"/>
      <w:szCs w:val="28"/>
    </w:rPr>
  </w:style>
  <w:style w:type="character" w:customStyle="1" w:styleId="22">
    <w:name w:val="标题 5 Char"/>
    <w:basedOn w:val="17"/>
    <w:link w:val="6"/>
    <w:semiHidden/>
    <w:qFormat/>
    <w:uiPriority w:val="9"/>
    <w:rPr>
      <w:rFonts w:cstheme="majorBidi"/>
      <w:color w:val="104862" w:themeColor="accent1" w:themeShade="BF"/>
      <w:sz w:val="24"/>
      <w:szCs w:val="24"/>
    </w:rPr>
  </w:style>
  <w:style w:type="character" w:customStyle="1" w:styleId="23">
    <w:name w:val="标题 6 Char"/>
    <w:basedOn w:val="17"/>
    <w:link w:val="7"/>
    <w:semiHidden/>
    <w:qFormat/>
    <w:uiPriority w:val="9"/>
    <w:rPr>
      <w:rFonts w:cstheme="majorBidi"/>
      <w:b/>
      <w:bCs/>
      <w:color w:val="104862" w:themeColor="accent1" w:themeShade="BF"/>
    </w:rPr>
  </w:style>
  <w:style w:type="character" w:customStyle="1" w:styleId="24">
    <w:name w:val="标题 7 Char"/>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Char"/>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Char"/>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Char"/>
    <w:basedOn w:val="17"/>
    <w:link w:val="15"/>
    <w:qFormat/>
    <w:uiPriority w:val="10"/>
    <w:rPr>
      <w:rFonts w:asciiTheme="majorHAnsi" w:hAnsiTheme="majorHAnsi" w:eastAsiaTheme="majorEastAsia" w:cstheme="majorBidi"/>
      <w:spacing w:val="-10"/>
      <w:kern w:val="28"/>
      <w:sz w:val="56"/>
      <w:szCs w:val="56"/>
    </w:rPr>
  </w:style>
  <w:style w:type="character" w:customStyle="1" w:styleId="28">
    <w:name w:val="副标题 Char"/>
    <w:basedOn w:val="17"/>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Char"/>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明显强调1"/>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Char"/>
    <w:basedOn w:val="17"/>
    <w:link w:val="33"/>
    <w:qFormat/>
    <w:uiPriority w:val="30"/>
    <w:rPr>
      <w:i/>
      <w:iCs/>
      <w:color w:val="104862" w:themeColor="accent1" w:themeShade="BF"/>
    </w:rPr>
  </w:style>
  <w:style w:type="character" w:customStyle="1" w:styleId="35">
    <w:name w:val="明显参考1"/>
    <w:basedOn w:val="17"/>
    <w:qFormat/>
    <w:uiPriority w:val="32"/>
    <w:rPr>
      <w:b/>
      <w:bCs/>
      <w:smallCaps/>
      <w:color w:val="104862" w:themeColor="accent1" w:themeShade="BF"/>
      <w:spacing w:val="5"/>
    </w:rPr>
  </w:style>
  <w:style w:type="character" w:customStyle="1" w:styleId="36">
    <w:name w:val="批注框文本 Char"/>
    <w:basedOn w:val="17"/>
    <w:link w:val="11"/>
    <w:semiHidden/>
    <w:qFormat/>
    <w:uiPriority w:val="99"/>
    <w:rPr>
      <w:rFonts w:asciiTheme="minorHAnsi" w:hAnsiTheme="minorHAnsi" w:eastAsiaTheme="minorEastAsia" w:cstheme="minorBidi"/>
      <w:kern w:val="2"/>
      <w:sz w:val="18"/>
      <w:szCs w:val="18"/>
    </w:rPr>
  </w:style>
  <w:style w:type="character" w:customStyle="1" w:styleId="37">
    <w:name w:val="页眉 Char"/>
    <w:basedOn w:val="17"/>
    <w:link w:val="13"/>
    <w:qFormat/>
    <w:uiPriority w:val="99"/>
    <w:rPr>
      <w:rFonts w:asciiTheme="minorHAnsi" w:hAnsiTheme="minorHAnsi" w:eastAsiaTheme="minorEastAsia" w:cstheme="minorBidi"/>
      <w:kern w:val="2"/>
      <w:sz w:val="18"/>
      <w:szCs w:val="18"/>
    </w:rPr>
  </w:style>
  <w:style w:type="character" w:customStyle="1" w:styleId="38">
    <w:name w:val="页脚 Char"/>
    <w:basedOn w:val="17"/>
    <w:link w:val="1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845</Words>
  <Characters>928</Characters>
  <Lines>6</Lines>
  <Paragraphs>1</Paragraphs>
  <TotalTime>0</TotalTime>
  <ScaleCrop>false</ScaleCrop>
  <LinksUpToDate>false</LinksUpToDate>
  <CharactersWithSpaces>929</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2026-04-10T05:02:00Z</dcterms:created>
  <dc:creator>Feng Wang</dc:creator>
  <cp:lastModifiedBy>周忆南</cp:lastModifiedBy>
  <cp:lastPrinted>2026-03-10T08:38:00Z</cp:lastPrinted>
  <dcterms:modified xsi:type="dcterms:W3CDTF">2026-04-14T03:00:11Z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eyJoZGlkIjoiOWViMzdkYTE5MGQ4Mzk0NzJkNTVjNzE2YjA4MmNlNTciLCJ1c2VySWQiOiIxNDg1MzY2ODE0In0=</vt:lpwstr>
  </property>
  <property fmtid="{D5CDD505-2E9C-101B-9397-08002B2CF9AE}" pid="3" name="KSOProductBuildVer">
    <vt:lpwstr>2052-12.1.0.25222</vt:lpwstr>
  </property>
  <property fmtid="{D5CDD505-2E9C-101B-9397-08002B2CF9AE}" pid="4" name="ICV">
    <vt:lpwstr>C1C9347401A54BAA86ABEEC1B3DC6826_13</vt:lpwstr>
  </property>
</Properties>
</file>